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B5" w:rsidRPr="002051CF" w:rsidRDefault="001E32B5" w:rsidP="001E32B5">
      <w:pPr>
        <w:pStyle w:val="Web"/>
        <w:shd w:val="clear" w:color="auto" w:fill="D9D9D9"/>
        <w:spacing w:before="120" w:after="120" w:line="360" w:lineRule="auto"/>
        <w:jc w:val="center"/>
        <w:rPr>
          <w:rFonts w:ascii="Roboto" w:hAnsi="Roboto"/>
          <w:sz w:val="20"/>
          <w:szCs w:val="20"/>
        </w:rPr>
      </w:pPr>
      <w:r w:rsidRPr="002051CF">
        <w:rPr>
          <w:rStyle w:val="a3"/>
          <w:rFonts w:ascii="Calibri" w:hAnsi="Calibri"/>
          <w:sz w:val="22"/>
          <w:szCs w:val="22"/>
        </w:rPr>
        <w:t>«ΠΡΟΓΡΑΜΜΑ ΕΞΕΙΔΙΚΕΥΜΕΝΗΣ ΕΚΠΑΙΔΕΥΤΙΚΗΣ ΥΠΟΣΤΗΡΙΞΗΣ ΓΙΑ ΕΝΤΑΞΗ ΜΑΘΗΤΩΝ ΜΕ ΑΝΑΠΗΡΙΑ Η/ΚΑΙ ΕΙΔΙΚΕΣ ΕΚΠΑΙΔΕΥΤΙΚΕΣ ΑΝΑΓΚΕΣ» ΣΤΟΥΣ ΑΞΟΝΕΣ ΠΡΟΤΕΡΑΙΟΤΗΤΑΣ 1, 2 &amp; 3 ΤΟΥ Ε.Π. «ΕΚΠΑΙΔΕΥΣΗ ΚΑΙ ΔΙΑ ΒΙΟΥ ΜΑΘΗΣΗ» ΤΟΥ ΕΣΠΑ</w:t>
      </w:r>
    </w:p>
    <w:p w:rsidR="001E32B5" w:rsidRPr="002051CF" w:rsidRDefault="001E32B5" w:rsidP="001E32B5">
      <w:pPr>
        <w:pStyle w:val="Web"/>
        <w:spacing w:before="120" w:after="120" w:line="360" w:lineRule="auto"/>
        <w:jc w:val="both"/>
        <w:rPr>
          <w:rFonts w:ascii="Roboto" w:hAnsi="Roboto" w:cs="Helvetica"/>
          <w:color w:val="000000" w:themeColor="text1"/>
          <w:sz w:val="20"/>
          <w:szCs w:val="20"/>
        </w:rPr>
      </w:pPr>
      <w:r w:rsidRPr="002051CF">
        <w:rPr>
          <w:rFonts w:ascii="Calibri" w:hAnsi="Calibri" w:cs="Helvetica"/>
          <w:color w:val="000000" w:themeColor="text1"/>
          <w:sz w:val="22"/>
          <w:szCs w:val="22"/>
        </w:rPr>
        <w:t>Οι Πράξεις «Πρόγραμμα εξειδικευμένης εκπαιδευτικής υποστήριξης για ένταξη μαθητών με αναπηρία ή/και ειδικές εκπαιδευτικές ανάγκες», των Αξόνων Προτεραιότητας 1, 2 και 3, του Επιχειρησιακού Προγράμματος «Εκπαίδευση και Δια Βίου Μάθηση», που συγχρηματοδοτείται από την Ευρωπαϊκή Ένωση (Ευρωπαϊκό Κοινωνικό Ταμείο) και από εθνικούς πόρους, αφορούν στην στήριξη και ενίσχυση του θεσμού της εξειδικευμένης εκπαιδευτικής υποστήριξης για ένταξη μαθητών με αναπηρία ή/και ειδικές εκπαιδευτικές ανάγκες για πέντε σχολικά έτη (2010-2011, 2011-2012, 2012-2013, 2013-2014 και 2014-2015). Το έργο υλοποιείται στο πλαίσιο των Αξόνων Προτεραιότητας 1, 2 και 3 «Αναβάθμιση της ποιότητας της εκπαίδευσης και προώθηση της κοινωνικής ενσωμάτωσης» στις 8 περιφέρειες Σύγκλισης, στις 3 περιφέρειες Σταδιακής Εξόδου και στις 2 περιφέρειες Σταδιακής Εισόδου, αντίστοιχα.</w:t>
      </w:r>
    </w:p>
    <w:p w:rsidR="001E32B5" w:rsidRPr="002051CF" w:rsidRDefault="001E32B5" w:rsidP="001E32B5">
      <w:pPr>
        <w:pStyle w:val="Web"/>
        <w:spacing w:before="120" w:after="120" w:line="360" w:lineRule="auto"/>
        <w:jc w:val="both"/>
        <w:rPr>
          <w:rFonts w:ascii="Roboto" w:hAnsi="Roboto" w:cs="Helvetica"/>
          <w:color w:val="000000" w:themeColor="text1"/>
          <w:sz w:val="20"/>
          <w:szCs w:val="20"/>
        </w:rPr>
      </w:pPr>
      <w:r w:rsidRPr="002051CF">
        <w:rPr>
          <w:rFonts w:ascii="Calibri" w:hAnsi="Calibri" w:cs="Helvetica"/>
          <w:color w:val="000000" w:themeColor="text1"/>
          <w:sz w:val="22"/>
          <w:szCs w:val="22"/>
        </w:rPr>
        <w:t>Ένα μείζον θέμα για το εκπαιδευτικό σύστημα και εν γένει για το κοινωνικό κράτος αποτελεί η ουσιαστική ένταξη στο εκπαιδευτικό σύστημα και η διαρκής υποστήριξη στην εκπαιδευτική διαδικασία των μαθητών με αναπηρία ή/και με ειδικές εκπαιδευτικές ανάγκες.</w:t>
      </w:r>
    </w:p>
    <w:p w:rsidR="001E32B5" w:rsidRPr="002051CF" w:rsidRDefault="001E32B5" w:rsidP="001E32B5">
      <w:pPr>
        <w:pStyle w:val="Web"/>
        <w:spacing w:before="120" w:after="120" w:line="360" w:lineRule="auto"/>
        <w:jc w:val="both"/>
        <w:rPr>
          <w:rFonts w:ascii="Roboto" w:hAnsi="Roboto" w:cs="Helvetica"/>
          <w:color w:val="000000" w:themeColor="text1"/>
          <w:sz w:val="20"/>
          <w:szCs w:val="20"/>
        </w:rPr>
      </w:pPr>
      <w:r w:rsidRPr="002051CF">
        <w:rPr>
          <w:rFonts w:ascii="Calibri" w:hAnsi="Calibri" w:cs="Helvetica"/>
          <w:color w:val="000000" w:themeColor="text1"/>
          <w:sz w:val="22"/>
          <w:szCs w:val="22"/>
        </w:rPr>
        <w:t>Ως «Μαθητές με Αναπηρία ή/και Ειδικές Εκπαιδευτικές ανάγκες» θεωρούνται όσοι για ολόκληρη ή ορισμένη περίοδο της σχολικής τους ζωής εμφανίζουν σημαντικές δυσκολίες μάθησης εξαιτίας αισθητηριακών, νοητικών, γνωστικών, αναπτυξιακών προβλημάτων, ψυχικών και νευροψυχικών διαταραχών οι οποίες, σύμφωνα με τη διεπιστημονική αξιολόγηση, επηρεάζουν τη διαδικασία της σχολικής προσαρμογής και μάθησης».</w:t>
      </w:r>
    </w:p>
    <w:p w:rsidR="001E32B5" w:rsidRPr="002051CF" w:rsidRDefault="001E32B5" w:rsidP="001E32B5">
      <w:pPr>
        <w:pStyle w:val="Web"/>
        <w:spacing w:before="120" w:after="120" w:line="360" w:lineRule="auto"/>
        <w:jc w:val="both"/>
        <w:rPr>
          <w:rFonts w:ascii="Roboto" w:hAnsi="Roboto" w:cs="Helvetica"/>
          <w:color w:val="000000" w:themeColor="text1"/>
          <w:sz w:val="20"/>
          <w:szCs w:val="20"/>
        </w:rPr>
      </w:pPr>
      <w:r w:rsidRPr="002051CF">
        <w:rPr>
          <w:rFonts w:ascii="Calibri" w:hAnsi="Calibri" w:cs="Helvetica"/>
          <w:color w:val="000000" w:themeColor="text1"/>
          <w:sz w:val="22"/>
          <w:szCs w:val="22"/>
        </w:rPr>
        <w:t xml:space="preserve">Στους μαθητές με αναπηρία ή/και ειδικές εκπαιδευτικές ανάγκες συγκαταλέγονται ιδίως όσοι παρουσιάζουν νοητική αναπηρία, αισθητηριακές αναπηρίες όρασης (τυφλοί, αμβλύωπες με χαμηλή όραση), αισθητηριακές αναπηρίες ακοής (κωφοί, βαρήκοοι), κινητικές αναπηρίες, χρόνια μη ιάσιμα νοσήματα, διαταραχές ομιλίας − λόγου, ειδικές μαθησιακές δυσκολίες όπως δυσλεξία, </w:t>
      </w:r>
      <w:proofErr w:type="spellStart"/>
      <w:r w:rsidRPr="002051CF">
        <w:rPr>
          <w:rFonts w:ascii="Calibri" w:hAnsi="Calibri" w:cs="Helvetica"/>
          <w:color w:val="000000" w:themeColor="text1"/>
          <w:sz w:val="22"/>
          <w:szCs w:val="22"/>
        </w:rPr>
        <w:t>δυσγραφία</w:t>
      </w:r>
      <w:proofErr w:type="spellEnd"/>
      <w:r w:rsidRPr="002051CF">
        <w:rPr>
          <w:rFonts w:ascii="Calibri" w:hAnsi="Calibri" w:cs="Helvetica"/>
          <w:color w:val="000000" w:themeColor="text1"/>
          <w:sz w:val="22"/>
          <w:szCs w:val="22"/>
        </w:rPr>
        <w:t xml:space="preserve">, </w:t>
      </w:r>
      <w:proofErr w:type="spellStart"/>
      <w:r w:rsidRPr="002051CF">
        <w:rPr>
          <w:rFonts w:ascii="Calibri" w:hAnsi="Calibri" w:cs="Helvetica"/>
          <w:color w:val="000000" w:themeColor="text1"/>
          <w:sz w:val="22"/>
          <w:szCs w:val="22"/>
        </w:rPr>
        <w:t>δυσαριθμησία</w:t>
      </w:r>
      <w:proofErr w:type="spellEnd"/>
      <w:r w:rsidRPr="002051CF">
        <w:rPr>
          <w:rFonts w:ascii="Calibri" w:hAnsi="Calibri" w:cs="Helvetica"/>
          <w:color w:val="000000" w:themeColor="text1"/>
          <w:sz w:val="22"/>
          <w:szCs w:val="22"/>
        </w:rPr>
        <w:t xml:space="preserve">, </w:t>
      </w:r>
      <w:proofErr w:type="spellStart"/>
      <w:r w:rsidRPr="002051CF">
        <w:rPr>
          <w:rFonts w:ascii="Calibri" w:hAnsi="Calibri" w:cs="Helvetica"/>
          <w:color w:val="000000" w:themeColor="text1"/>
          <w:sz w:val="22"/>
          <w:szCs w:val="22"/>
        </w:rPr>
        <w:t>δυσαναγνωσία</w:t>
      </w:r>
      <w:proofErr w:type="spellEnd"/>
      <w:r w:rsidRPr="002051CF">
        <w:rPr>
          <w:rFonts w:ascii="Calibri" w:hAnsi="Calibri" w:cs="Helvetica"/>
          <w:color w:val="000000" w:themeColor="text1"/>
          <w:sz w:val="22"/>
          <w:szCs w:val="22"/>
        </w:rPr>
        <w:t xml:space="preserve">, </w:t>
      </w:r>
      <w:proofErr w:type="spellStart"/>
      <w:r w:rsidRPr="002051CF">
        <w:rPr>
          <w:rFonts w:ascii="Calibri" w:hAnsi="Calibri" w:cs="Helvetica"/>
          <w:color w:val="000000" w:themeColor="text1"/>
          <w:sz w:val="22"/>
          <w:szCs w:val="22"/>
        </w:rPr>
        <w:t>δυσορθογραφία</w:t>
      </w:r>
      <w:proofErr w:type="spellEnd"/>
      <w:r w:rsidRPr="002051CF">
        <w:rPr>
          <w:rFonts w:ascii="Calibri" w:hAnsi="Calibri" w:cs="Helvetica"/>
          <w:color w:val="000000" w:themeColor="text1"/>
          <w:sz w:val="22"/>
          <w:szCs w:val="22"/>
        </w:rPr>
        <w:t xml:space="preserve">, σύνδρομο ελλειμματικής προσοχής με ή χωρίς </w:t>
      </w:r>
      <w:proofErr w:type="spellStart"/>
      <w:r w:rsidRPr="002051CF">
        <w:rPr>
          <w:rFonts w:ascii="Calibri" w:hAnsi="Calibri" w:cs="Helvetica"/>
          <w:color w:val="000000" w:themeColor="text1"/>
          <w:sz w:val="22"/>
          <w:szCs w:val="22"/>
        </w:rPr>
        <w:t>υπερκινητικότητα</w:t>
      </w:r>
      <w:proofErr w:type="spellEnd"/>
      <w:r w:rsidRPr="002051CF">
        <w:rPr>
          <w:rFonts w:ascii="Calibri" w:hAnsi="Calibri" w:cs="Helvetica"/>
          <w:color w:val="000000" w:themeColor="text1"/>
          <w:sz w:val="22"/>
          <w:szCs w:val="22"/>
        </w:rPr>
        <w:t>, διάχυτες αναπτυξιακές διαταραχές (φάσμα αυτισμού), ψυχικές διαταραχές και πολλαπλές αναπηρίες.</w:t>
      </w:r>
    </w:p>
    <w:p w:rsidR="002052E9" w:rsidRPr="002051CF" w:rsidRDefault="002052E9" w:rsidP="001E32B5">
      <w:pPr>
        <w:pStyle w:val="Web"/>
        <w:spacing w:before="120" w:after="120" w:line="360" w:lineRule="auto"/>
        <w:jc w:val="both"/>
        <w:rPr>
          <w:rFonts w:ascii="Calibri" w:hAnsi="Calibri" w:cs="Helvetica"/>
          <w:color w:val="000000" w:themeColor="text1"/>
          <w:sz w:val="22"/>
          <w:szCs w:val="22"/>
        </w:rPr>
      </w:pPr>
      <w:r w:rsidRPr="002051CF">
        <w:rPr>
          <w:rFonts w:ascii="Calibri" w:hAnsi="Calibri" w:cs="Helvetica"/>
          <w:noProof/>
          <w:color w:val="000000" w:themeColor="text1"/>
          <w:sz w:val="22"/>
          <w:szCs w:val="22"/>
        </w:rPr>
        <w:drawing>
          <wp:inline distT="0" distB="0" distL="0" distR="0">
            <wp:extent cx="5274310" cy="720323"/>
            <wp:effectExtent l="1905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274310" cy="720323"/>
                    </a:xfrm>
                    <a:prstGeom prst="rect">
                      <a:avLst/>
                    </a:prstGeom>
                    <a:noFill/>
                    <a:ln w="9525">
                      <a:noFill/>
                      <a:miter lim="800000"/>
                      <a:headEnd/>
                      <a:tailEnd/>
                    </a:ln>
                  </pic:spPr>
                </pic:pic>
              </a:graphicData>
            </a:graphic>
          </wp:inline>
        </w:drawing>
      </w:r>
    </w:p>
    <w:p w:rsidR="001E32B5" w:rsidRPr="002051CF" w:rsidRDefault="001E32B5" w:rsidP="001E32B5">
      <w:pPr>
        <w:pStyle w:val="Web"/>
        <w:spacing w:before="120" w:after="120" w:line="360" w:lineRule="auto"/>
        <w:jc w:val="both"/>
        <w:rPr>
          <w:rFonts w:ascii="Roboto" w:hAnsi="Roboto" w:cs="Helvetica"/>
          <w:color w:val="000000" w:themeColor="text1"/>
          <w:sz w:val="20"/>
          <w:szCs w:val="20"/>
        </w:rPr>
      </w:pPr>
      <w:r w:rsidRPr="002051CF">
        <w:rPr>
          <w:rFonts w:ascii="Calibri" w:hAnsi="Calibri" w:cs="Helvetica"/>
          <w:color w:val="000000" w:themeColor="text1"/>
          <w:sz w:val="22"/>
          <w:szCs w:val="22"/>
        </w:rPr>
        <w:lastRenderedPageBreak/>
        <w:t>Στόχος της Πράξης είναι η υλοποίηση της εξειδικευμένης εκπαιδευτικής υποστήριξης στα σχολεία γενικής αγωγής μέσα από κατάλληλα επιμορφωμένο εκπαιδευτικό προσωπικό, το οποίο υποστηρίζει τους μαθητές με αναπηρία ή/και με ειδικές εκπαιδευτικές ανάγκες στη σχολική τάξη παράλληλα με τον εκπαιδευτικό της τάξης. Το προσωπικό αυτό προσλαμβάνεται, επιμορφώνεται, και υποστηρίζεται επιστημονικά και συμβουλευτικά, από κατάλληλες δομές.</w:t>
      </w:r>
      <w:r w:rsidRPr="002051CF">
        <w:rPr>
          <w:rFonts w:ascii="Roboto" w:hAnsi="Roboto" w:cs="Helvetica"/>
          <w:color w:val="000000" w:themeColor="text1"/>
          <w:sz w:val="20"/>
          <w:szCs w:val="20"/>
        </w:rPr>
        <w:t> </w:t>
      </w:r>
    </w:p>
    <w:p w:rsidR="002052E9" w:rsidRPr="002051CF" w:rsidRDefault="001E32B5" w:rsidP="001E32B5">
      <w:pPr>
        <w:pStyle w:val="Web"/>
        <w:spacing w:before="120" w:after="120" w:line="360" w:lineRule="auto"/>
        <w:jc w:val="both"/>
        <w:rPr>
          <w:rFonts w:ascii="Calibri" w:hAnsi="Calibri" w:cs="Helvetica"/>
          <w:color w:val="000000" w:themeColor="text1"/>
          <w:sz w:val="22"/>
          <w:szCs w:val="22"/>
        </w:rPr>
      </w:pPr>
      <w:r w:rsidRPr="002051CF">
        <w:rPr>
          <w:rFonts w:ascii="Calibri" w:hAnsi="Calibri" w:cs="Helvetica"/>
          <w:color w:val="000000" w:themeColor="text1"/>
          <w:sz w:val="22"/>
          <w:szCs w:val="22"/>
        </w:rPr>
        <w:t>Η εξειδικευμένη εκπαιδευτική υποστήριξη των μαθητών με αναπηρία ή/και με  ειδικές εκπαιδευτικές ανάγκες είναι μία έμπρακτη εφαρμογή προς την κατεύθυνση της ενσωμάτωσης τους κοινωνικά στη σχολική τάξη του γενικού σχολείου και κατ’ επέκταση στη σχολική κοινότητα. Αυτό θα έχει ως αποτέλεσμα να βελτιώσει την προσβασιμότητα των μαθητών στο κοινωνικό γίγνεσθαι και να αντιμετωπίσει τον κοινωνικό αποκλεισμό.</w:t>
      </w:r>
    </w:p>
    <w:p w:rsidR="002052E9" w:rsidRPr="002051CF" w:rsidRDefault="002052E9" w:rsidP="001E32B5">
      <w:pPr>
        <w:pStyle w:val="Web"/>
        <w:spacing w:before="120" w:after="120" w:line="360" w:lineRule="auto"/>
        <w:jc w:val="both"/>
        <w:rPr>
          <w:rFonts w:ascii="Calibri" w:hAnsi="Calibri" w:cs="Helvetica"/>
          <w:color w:val="000000" w:themeColor="text1"/>
          <w:sz w:val="22"/>
          <w:szCs w:val="22"/>
        </w:rPr>
      </w:pPr>
    </w:p>
    <w:p w:rsidR="002052E9" w:rsidRDefault="002052E9" w:rsidP="001E32B5">
      <w:pPr>
        <w:pStyle w:val="Web"/>
        <w:spacing w:before="120" w:after="120" w:line="360" w:lineRule="auto"/>
        <w:jc w:val="both"/>
        <w:rPr>
          <w:rFonts w:ascii="Calibri" w:hAnsi="Calibri" w:cs="Helvetica"/>
          <w:color w:val="6E6E6E"/>
          <w:sz w:val="22"/>
          <w:szCs w:val="22"/>
        </w:rPr>
      </w:pPr>
    </w:p>
    <w:p w:rsidR="002052E9" w:rsidRDefault="002052E9" w:rsidP="001E32B5">
      <w:pPr>
        <w:pStyle w:val="Web"/>
        <w:spacing w:before="120" w:after="120" w:line="360" w:lineRule="auto"/>
        <w:jc w:val="both"/>
        <w:rPr>
          <w:rFonts w:ascii="Calibri" w:hAnsi="Calibri" w:cs="Helvetica"/>
          <w:color w:val="6E6E6E"/>
          <w:sz w:val="22"/>
          <w:szCs w:val="22"/>
        </w:rPr>
      </w:pPr>
    </w:p>
    <w:p w:rsidR="002052E9" w:rsidRDefault="002052E9" w:rsidP="001E32B5">
      <w:pPr>
        <w:pStyle w:val="Web"/>
        <w:spacing w:before="120" w:after="120" w:line="360" w:lineRule="auto"/>
        <w:jc w:val="both"/>
        <w:rPr>
          <w:rFonts w:ascii="Calibri" w:hAnsi="Calibri" w:cs="Helvetica"/>
          <w:color w:val="6E6E6E"/>
          <w:sz w:val="22"/>
          <w:szCs w:val="22"/>
        </w:rPr>
      </w:pPr>
    </w:p>
    <w:p w:rsidR="002052E9" w:rsidRDefault="002052E9" w:rsidP="001E32B5">
      <w:pPr>
        <w:pStyle w:val="Web"/>
        <w:spacing w:before="120" w:after="120" w:line="360" w:lineRule="auto"/>
        <w:jc w:val="both"/>
        <w:rPr>
          <w:rFonts w:ascii="Calibri" w:hAnsi="Calibri" w:cs="Helvetica"/>
          <w:color w:val="6E6E6E"/>
          <w:sz w:val="22"/>
          <w:szCs w:val="22"/>
        </w:rPr>
      </w:pPr>
    </w:p>
    <w:p w:rsidR="002052E9" w:rsidRDefault="002052E9" w:rsidP="001E32B5">
      <w:pPr>
        <w:pStyle w:val="Web"/>
        <w:spacing w:before="120" w:after="120" w:line="360" w:lineRule="auto"/>
        <w:jc w:val="both"/>
        <w:rPr>
          <w:rFonts w:ascii="Calibri" w:hAnsi="Calibri" w:cs="Helvetica"/>
          <w:color w:val="6E6E6E"/>
          <w:sz w:val="22"/>
          <w:szCs w:val="22"/>
        </w:rPr>
      </w:pPr>
    </w:p>
    <w:p w:rsidR="002052E9" w:rsidRDefault="002052E9" w:rsidP="001E32B5">
      <w:pPr>
        <w:pStyle w:val="Web"/>
        <w:spacing w:before="120" w:after="120" w:line="360" w:lineRule="auto"/>
        <w:jc w:val="both"/>
        <w:rPr>
          <w:rFonts w:ascii="Calibri" w:hAnsi="Calibri" w:cs="Helvetica"/>
          <w:color w:val="6E6E6E"/>
          <w:sz w:val="22"/>
          <w:szCs w:val="22"/>
        </w:rPr>
      </w:pPr>
    </w:p>
    <w:p w:rsidR="002052E9" w:rsidRDefault="002052E9" w:rsidP="001E32B5">
      <w:pPr>
        <w:pStyle w:val="Web"/>
        <w:spacing w:before="120" w:after="120" w:line="360" w:lineRule="auto"/>
        <w:jc w:val="both"/>
        <w:rPr>
          <w:rFonts w:ascii="Calibri" w:hAnsi="Calibri" w:cs="Helvetica"/>
          <w:color w:val="6E6E6E"/>
          <w:sz w:val="22"/>
          <w:szCs w:val="22"/>
        </w:rPr>
      </w:pPr>
    </w:p>
    <w:p w:rsidR="00FD17C6" w:rsidRPr="002051CF" w:rsidRDefault="002052E9" w:rsidP="002051CF">
      <w:pPr>
        <w:pStyle w:val="Web"/>
        <w:spacing w:before="120" w:after="120" w:line="360" w:lineRule="auto"/>
        <w:jc w:val="both"/>
        <w:rPr>
          <w:rFonts w:ascii="Roboto" w:hAnsi="Roboto" w:cs="Helvetica"/>
          <w:color w:val="6E6E6E"/>
          <w:sz w:val="20"/>
          <w:szCs w:val="20"/>
        </w:rPr>
      </w:pPr>
      <w:r>
        <w:rPr>
          <w:rFonts w:ascii="Calibri" w:hAnsi="Calibri" w:cs="Helvetica"/>
          <w:noProof/>
          <w:color w:val="6E6E6E"/>
          <w:sz w:val="22"/>
          <w:szCs w:val="22"/>
        </w:rPr>
        <w:drawing>
          <wp:inline distT="0" distB="0" distL="0" distR="0">
            <wp:extent cx="5274310" cy="720323"/>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74310" cy="720323"/>
                    </a:xfrm>
                    <a:prstGeom prst="rect">
                      <a:avLst/>
                    </a:prstGeom>
                    <a:noFill/>
                    <a:ln w="9525">
                      <a:noFill/>
                      <a:miter lim="800000"/>
                      <a:headEnd/>
                      <a:tailEnd/>
                    </a:ln>
                  </pic:spPr>
                </pic:pic>
              </a:graphicData>
            </a:graphic>
          </wp:inline>
        </w:drawing>
      </w:r>
    </w:p>
    <w:sectPr w:rsidR="00FD17C6" w:rsidRPr="002051CF" w:rsidSect="002052E9">
      <w:pgSz w:w="11906" w:h="16838"/>
      <w:pgMar w:top="1440"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32B5"/>
    <w:rsid w:val="001E32B5"/>
    <w:rsid w:val="001F389A"/>
    <w:rsid w:val="002051CF"/>
    <w:rsid w:val="002052E9"/>
    <w:rsid w:val="004E1FE6"/>
    <w:rsid w:val="00636C8F"/>
    <w:rsid w:val="007F4B17"/>
    <w:rsid w:val="00CC4CE7"/>
    <w:rsid w:val="00FD17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E32B5"/>
    <w:pPr>
      <w:spacing w:after="225"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E32B5"/>
    <w:rPr>
      <w:b/>
      <w:bCs/>
    </w:rPr>
  </w:style>
  <w:style w:type="paragraph" w:styleId="a4">
    <w:name w:val="Balloon Text"/>
    <w:basedOn w:val="a"/>
    <w:link w:val="Char"/>
    <w:uiPriority w:val="99"/>
    <w:semiHidden/>
    <w:unhideWhenUsed/>
    <w:rsid w:val="002052E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052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8729177">
      <w:bodyDiv w:val="1"/>
      <w:marLeft w:val="0"/>
      <w:marRight w:val="0"/>
      <w:marTop w:val="0"/>
      <w:marBottom w:val="15"/>
      <w:divBdr>
        <w:top w:val="none" w:sz="0" w:space="0" w:color="auto"/>
        <w:left w:val="none" w:sz="0" w:space="0" w:color="auto"/>
        <w:bottom w:val="none" w:sz="0" w:space="0" w:color="auto"/>
        <w:right w:val="none" w:sz="0" w:space="0" w:color="auto"/>
      </w:divBdr>
      <w:divsChild>
        <w:div w:id="326370570">
          <w:marLeft w:val="0"/>
          <w:marRight w:val="0"/>
          <w:marTop w:val="0"/>
          <w:marBottom w:val="0"/>
          <w:divBdr>
            <w:top w:val="none" w:sz="0" w:space="0" w:color="auto"/>
            <w:left w:val="none" w:sz="0" w:space="0" w:color="auto"/>
            <w:bottom w:val="none" w:sz="0" w:space="0" w:color="auto"/>
            <w:right w:val="none" w:sz="0" w:space="0" w:color="auto"/>
          </w:divBdr>
          <w:divsChild>
            <w:div w:id="1747991720">
              <w:marLeft w:val="0"/>
              <w:marRight w:val="0"/>
              <w:marTop w:val="0"/>
              <w:marBottom w:val="0"/>
              <w:divBdr>
                <w:top w:val="none" w:sz="0" w:space="0" w:color="auto"/>
                <w:left w:val="none" w:sz="0" w:space="0" w:color="auto"/>
                <w:bottom w:val="none" w:sz="0" w:space="0" w:color="auto"/>
                <w:right w:val="none" w:sz="0" w:space="0" w:color="auto"/>
              </w:divBdr>
              <w:divsChild>
                <w:div w:id="1984966272">
                  <w:marLeft w:val="0"/>
                  <w:marRight w:val="0"/>
                  <w:marTop w:val="0"/>
                  <w:marBottom w:val="0"/>
                  <w:divBdr>
                    <w:top w:val="none" w:sz="0" w:space="0" w:color="auto"/>
                    <w:left w:val="none" w:sz="0" w:space="0" w:color="auto"/>
                    <w:bottom w:val="none" w:sz="0" w:space="0" w:color="auto"/>
                    <w:right w:val="none" w:sz="0" w:space="0" w:color="auto"/>
                  </w:divBdr>
                  <w:divsChild>
                    <w:div w:id="1834956703">
                      <w:marLeft w:val="0"/>
                      <w:marRight w:val="0"/>
                      <w:marTop w:val="0"/>
                      <w:marBottom w:val="0"/>
                      <w:divBdr>
                        <w:top w:val="none" w:sz="0" w:space="0" w:color="auto"/>
                        <w:left w:val="none" w:sz="0" w:space="0" w:color="auto"/>
                        <w:bottom w:val="none" w:sz="0" w:space="0" w:color="auto"/>
                        <w:right w:val="none" w:sz="0" w:space="0" w:color="auto"/>
                      </w:divBdr>
                      <w:divsChild>
                        <w:div w:id="1639216666">
                          <w:marLeft w:val="0"/>
                          <w:marRight w:val="0"/>
                          <w:marTop w:val="0"/>
                          <w:marBottom w:val="0"/>
                          <w:divBdr>
                            <w:top w:val="none" w:sz="0" w:space="0" w:color="auto"/>
                            <w:left w:val="none" w:sz="0" w:space="0" w:color="auto"/>
                            <w:bottom w:val="none" w:sz="0" w:space="0" w:color="auto"/>
                            <w:right w:val="none" w:sz="0" w:space="0" w:color="auto"/>
                          </w:divBdr>
                          <w:divsChild>
                            <w:div w:id="1207066143">
                              <w:marLeft w:val="0"/>
                              <w:marRight w:val="0"/>
                              <w:marTop w:val="0"/>
                              <w:marBottom w:val="0"/>
                              <w:divBdr>
                                <w:top w:val="none" w:sz="0" w:space="0" w:color="auto"/>
                                <w:left w:val="none" w:sz="0" w:space="0" w:color="auto"/>
                                <w:bottom w:val="none" w:sz="0" w:space="0" w:color="auto"/>
                                <w:right w:val="none" w:sz="0" w:space="0" w:color="auto"/>
                              </w:divBdr>
                              <w:divsChild>
                                <w:div w:id="609967479">
                                  <w:marLeft w:val="0"/>
                                  <w:marRight w:val="0"/>
                                  <w:marTop w:val="0"/>
                                  <w:marBottom w:val="0"/>
                                  <w:divBdr>
                                    <w:top w:val="none" w:sz="0" w:space="0" w:color="auto"/>
                                    <w:left w:val="none" w:sz="0" w:space="0" w:color="auto"/>
                                    <w:bottom w:val="none" w:sz="0" w:space="0" w:color="auto"/>
                                    <w:right w:val="none" w:sz="0" w:space="0" w:color="auto"/>
                                  </w:divBdr>
                                  <w:divsChild>
                                    <w:div w:id="248005608">
                                      <w:marLeft w:val="75"/>
                                      <w:marRight w:val="75"/>
                                      <w:marTop w:val="150"/>
                                      <w:marBottom w:val="30"/>
                                      <w:divBdr>
                                        <w:top w:val="none" w:sz="0" w:space="0" w:color="auto"/>
                                        <w:left w:val="none" w:sz="0" w:space="0" w:color="auto"/>
                                        <w:bottom w:val="none" w:sz="0" w:space="0" w:color="auto"/>
                                        <w:right w:val="none" w:sz="0" w:space="0" w:color="auto"/>
                                      </w:divBdr>
                                      <w:divsChild>
                                        <w:div w:id="925192428">
                                          <w:marLeft w:val="0"/>
                                          <w:marRight w:val="0"/>
                                          <w:marTop w:val="0"/>
                                          <w:marBottom w:val="0"/>
                                          <w:divBdr>
                                            <w:top w:val="none" w:sz="0" w:space="0" w:color="auto"/>
                                            <w:left w:val="none" w:sz="0" w:space="0" w:color="auto"/>
                                            <w:bottom w:val="none" w:sz="0" w:space="0" w:color="auto"/>
                                            <w:right w:val="none" w:sz="0" w:space="0" w:color="auto"/>
                                          </w:divBdr>
                                          <w:divsChild>
                                            <w:div w:id="8458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645431">
      <w:bodyDiv w:val="1"/>
      <w:marLeft w:val="0"/>
      <w:marRight w:val="0"/>
      <w:marTop w:val="0"/>
      <w:marBottom w:val="15"/>
      <w:divBdr>
        <w:top w:val="none" w:sz="0" w:space="0" w:color="auto"/>
        <w:left w:val="none" w:sz="0" w:space="0" w:color="auto"/>
        <w:bottom w:val="none" w:sz="0" w:space="0" w:color="auto"/>
        <w:right w:val="none" w:sz="0" w:space="0" w:color="auto"/>
      </w:divBdr>
      <w:divsChild>
        <w:div w:id="1765802744">
          <w:marLeft w:val="0"/>
          <w:marRight w:val="0"/>
          <w:marTop w:val="0"/>
          <w:marBottom w:val="0"/>
          <w:divBdr>
            <w:top w:val="none" w:sz="0" w:space="0" w:color="auto"/>
            <w:left w:val="none" w:sz="0" w:space="0" w:color="auto"/>
            <w:bottom w:val="none" w:sz="0" w:space="0" w:color="auto"/>
            <w:right w:val="none" w:sz="0" w:space="0" w:color="auto"/>
          </w:divBdr>
          <w:divsChild>
            <w:div w:id="1675302980">
              <w:marLeft w:val="0"/>
              <w:marRight w:val="0"/>
              <w:marTop w:val="0"/>
              <w:marBottom w:val="0"/>
              <w:divBdr>
                <w:top w:val="none" w:sz="0" w:space="0" w:color="auto"/>
                <w:left w:val="none" w:sz="0" w:space="0" w:color="auto"/>
                <w:bottom w:val="none" w:sz="0" w:space="0" w:color="auto"/>
                <w:right w:val="none" w:sz="0" w:space="0" w:color="auto"/>
              </w:divBdr>
              <w:divsChild>
                <w:div w:id="1693337107">
                  <w:marLeft w:val="0"/>
                  <w:marRight w:val="0"/>
                  <w:marTop w:val="0"/>
                  <w:marBottom w:val="0"/>
                  <w:divBdr>
                    <w:top w:val="none" w:sz="0" w:space="0" w:color="auto"/>
                    <w:left w:val="none" w:sz="0" w:space="0" w:color="auto"/>
                    <w:bottom w:val="none" w:sz="0" w:space="0" w:color="auto"/>
                    <w:right w:val="none" w:sz="0" w:space="0" w:color="auto"/>
                  </w:divBdr>
                  <w:divsChild>
                    <w:div w:id="675113380">
                      <w:marLeft w:val="0"/>
                      <w:marRight w:val="0"/>
                      <w:marTop w:val="0"/>
                      <w:marBottom w:val="0"/>
                      <w:divBdr>
                        <w:top w:val="none" w:sz="0" w:space="0" w:color="auto"/>
                        <w:left w:val="none" w:sz="0" w:space="0" w:color="auto"/>
                        <w:bottom w:val="none" w:sz="0" w:space="0" w:color="auto"/>
                        <w:right w:val="none" w:sz="0" w:space="0" w:color="auto"/>
                      </w:divBdr>
                      <w:divsChild>
                        <w:div w:id="439030026">
                          <w:marLeft w:val="0"/>
                          <w:marRight w:val="0"/>
                          <w:marTop w:val="0"/>
                          <w:marBottom w:val="0"/>
                          <w:divBdr>
                            <w:top w:val="none" w:sz="0" w:space="0" w:color="auto"/>
                            <w:left w:val="none" w:sz="0" w:space="0" w:color="auto"/>
                            <w:bottom w:val="none" w:sz="0" w:space="0" w:color="auto"/>
                            <w:right w:val="none" w:sz="0" w:space="0" w:color="auto"/>
                          </w:divBdr>
                          <w:divsChild>
                            <w:div w:id="1644852746">
                              <w:marLeft w:val="0"/>
                              <w:marRight w:val="0"/>
                              <w:marTop w:val="0"/>
                              <w:marBottom w:val="0"/>
                              <w:divBdr>
                                <w:top w:val="none" w:sz="0" w:space="0" w:color="auto"/>
                                <w:left w:val="none" w:sz="0" w:space="0" w:color="auto"/>
                                <w:bottom w:val="none" w:sz="0" w:space="0" w:color="auto"/>
                                <w:right w:val="none" w:sz="0" w:space="0" w:color="auto"/>
                              </w:divBdr>
                              <w:divsChild>
                                <w:div w:id="81950704">
                                  <w:marLeft w:val="0"/>
                                  <w:marRight w:val="0"/>
                                  <w:marTop w:val="0"/>
                                  <w:marBottom w:val="0"/>
                                  <w:divBdr>
                                    <w:top w:val="none" w:sz="0" w:space="0" w:color="auto"/>
                                    <w:left w:val="none" w:sz="0" w:space="0" w:color="auto"/>
                                    <w:bottom w:val="none" w:sz="0" w:space="0" w:color="auto"/>
                                    <w:right w:val="none" w:sz="0" w:space="0" w:color="auto"/>
                                  </w:divBdr>
                                  <w:divsChild>
                                    <w:div w:id="1107001109">
                                      <w:marLeft w:val="75"/>
                                      <w:marRight w:val="75"/>
                                      <w:marTop w:val="150"/>
                                      <w:marBottom w:val="30"/>
                                      <w:divBdr>
                                        <w:top w:val="none" w:sz="0" w:space="0" w:color="auto"/>
                                        <w:left w:val="none" w:sz="0" w:space="0" w:color="auto"/>
                                        <w:bottom w:val="none" w:sz="0" w:space="0" w:color="auto"/>
                                        <w:right w:val="none" w:sz="0" w:space="0" w:color="auto"/>
                                      </w:divBdr>
                                      <w:divsChild>
                                        <w:div w:id="1068311579">
                                          <w:marLeft w:val="0"/>
                                          <w:marRight w:val="0"/>
                                          <w:marTop w:val="0"/>
                                          <w:marBottom w:val="0"/>
                                          <w:divBdr>
                                            <w:top w:val="none" w:sz="0" w:space="0" w:color="auto"/>
                                            <w:left w:val="none" w:sz="0" w:space="0" w:color="auto"/>
                                            <w:bottom w:val="none" w:sz="0" w:space="0" w:color="auto"/>
                                            <w:right w:val="none" w:sz="0" w:space="0" w:color="auto"/>
                                          </w:divBdr>
                                          <w:divsChild>
                                            <w:div w:id="1055618782">
                                              <w:marLeft w:val="0"/>
                                              <w:marRight w:val="0"/>
                                              <w:marTop w:val="0"/>
                                              <w:marBottom w:val="0"/>
                                              <w:divBdr>
                                                <w:top w:val="none" w:sz="0" w:space="0" w:color="auto"/>
                                                <w:left w:val="none" w:sz="0" w:space="0" w:color="auto"/>
                                                <w:bottom w:val="none" w:sz="0" w:space="0" w:color="auto"/>
                                                <w:right w:val="none" w:sz="0" w:space="0" w:color="auto"/>
                                              </w:divBdr>
                                              <w:divsChild>
                                                <w:div w:id="78720882">
                                                  <w:marLeft w:val="0"/>
                                                  <w:marRight w:val="0"/>
                                                  <w:marTop w:val="0"/>
                                                  <w:marBottom w:val="0"/>
                                                  <w:divBdr>
                                                    <w:top w:val="single" w:sz="8" w:space="1" w:color="auto"/>
                                                    <w:left w:val="single" w:sz="8" w:space="13"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2630</Characters>
  <Application>Microsoft Office Word</Application>
  <DocSecurity>0</DocSecurity>
  <Lines>21</Lines>
  <Paragraphs>6</Paragraphs>
  <ScaleCrop>false</ScaleCrop>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Παναγιώτα</dc:creator>
  <cp:lastModifiedBy>Παναγιώτα</cp:lastModifiedBy>
  <cp:revision>2</cp:revision>
  <dcterms:created xsi:type="dcterms:W3CDTF">2016-02-04T14:27:00Z</dcterms:created>
  <dcterms:modified xsi:type="dcterms:W3CDTF">2016-02-04T14:27:00Z</dcterms:modified>
</cp:coreProperties>
</file>